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exact" w:line="859"/>
        <w:ind w:left="131" w:hanging="0"/>
        <w:rPr>
          <w:rFonts w:ascii="Helvetica" w:hAnsi="Helvetica"/>
          <w:sz w:val="104"/>
        </w:rPr>
      </w:pPr>
      <w:r>
        <mc:AlternateContent>
          <mc:Choice Requires="wpg">
            <w:drawing>
              <wp:anchor behindDoc="1" distT="0" distB="0" distL="114300" distR="114300" simplePos="0" locked="0" layoutInCell="0" allowOverlap="1" relativeHeight="3">
                <wp:simplePos x="0" y="0"/>
                <wp:positionH relativeFrom="page">
                  <wp:posOffset>-176530</wp:posOffset>
                </wp:positionH>
                <wp:positionV relativeFrom="page">
                  <wp:posOffset>2540</wp:posOffset>
                </wp:positionV>
                <wp:extent cx="7564755" cy="10697845"/>
                <wp:effectExtent l="0" t="0" r="0" b="0"/>
                <wp:wrapNone/>
                <wp:docPr id="1" name="docshapegroup2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64680" cy="10697760"/>
                          <a:chOff x="0" y="0"/>
                          <a:chExt cx="7564680" cy="10697760"/>
                        </a:xfrm>
                      </wpg:grpSpPr>
                      <wps:wsp>
                        <wps:cNvSpPr/>
                        <wps:spPr>
                          <a:xfrm>
                            <a:off x="3240" y="2520"/>
                            <a:ext cx="7560360" cy="251964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21001" h="6999">
                                <a:moveTo>
                                  <a:pt x="21001" y="0"/>
                                </a:moveTo>
                                <a:lnTo>
                                  <a:pt x="10501" y="0"/>
                                </a:lnTo>
                                <a:lnTo>
                                  <a:pt x="1" y="0"/>
                                </a:lnTo>
                                <a:lnTo>
                                  <a:pt x="1" y="6999"/>
                                </a:lnTo>
                                <a:lnTo>
                                  <a:pt x="10501" y="6999"/>
                                </a:lnTo>
                                <a:lnTo>
                                  <a:pt x="21001" y="6999"/>
                                </a:lnTo>
                                <a:lnTo>
                                  <a:pt x="2100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c008c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2" name="docshape4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0" y="0"/>
                            <a:ext cx="7564680" cy="1069776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wps:wsp>
                        <wps:cNvSpPr/>
                        <wps:nvSpPr>
                          <wps:cNvPr id="3" name="docshape5"/>
                          <wps:cNvSpPr/>
                        </wps:nvSpPr>
                        <wps:spPr>
                          <a:xfrm>
                            <a:off x="377280" y="1372320"/>
                            <a:ext cx="3454920" cy="1201320"/>
                          </a:xfrm>
                          <a:prstGeom prst="rect">
                            <a:avLst/>
                          </a:prstGeom>
                          <a:solidFill>
                            <a:srgbClr val="253e89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docshapegroup2" style="position:absolute;margin-left:-13.9pt;margin-top:0.2pt;width:595.65pt;height:842.35pt" coordorigin="-278,4" coordsize="11913,16847">
                <v:shape id="shape_0" ID="docshape3" coordsize="21001,7000" path="m21000,0l10500,0l0,0l0,6999l10500,6999l21000,6999l21000,0e" fillcolor="#ec008c" stroked="f" o:allowincell="f" style="position:absolute;left:-273;top:8;width:11905;height:3967;mso-wrap-style:none;v-text-anchor:middle;mso-position-horizontal-relative:page;mso-position-vertical-relative:page">
                  <v:fill o:detectmouseclick="t" type="solid" color2="#13ff73"/>
                  <v:stroke color="#3465a4" joinstyle="round" endcap="flat"/>
                  <w10:wrap type="none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docshape4" stroked="f" o:allowincell="f" style="position:absolute;left:-278;top:4;width:11912;height:16846;mso-wrap-style:none;v-text-anchor:middle;mso-position-horizontal-relative:page;mso-position-vertical-relative:page" type="_x0000_t75">
                  <v:imagedata r:id="rId3" o:detectmouseclick="t"/>
                  <v:stroke color="#3465a4" joinstyle="round" endcap="flat"/>
                  <w10:wrap type="none"/>
                </v:shape>
                <v:rect id="shape_0" ID="docshape5" fillcolor="#253e89" stroked="f" o:allowincell="f" style="position:absolute;left:316;top:2165;width:5440;height:1891;mso-wrap-style:none;v-text-anchor:middle;mso-position-horizontal-relative:page;mso-position-vertical-relative:page">
                  <v:fill o:detectmouseclick="t" type="solid" color2="#dac176"/>
                  <v:stroke color="#3465a4" joinstyle="round" endcap="flat"/>
                  <w10:wrap type="none"/>
                </v:rect>
              </v:group>
            </w:pict>
          </mc:Fallback>
        </mc:AlternateContent>
      </w:r>
      <w:r>
        <w:rPr>
          <w:rFonts w:ascii="Helvetica" w:hAnsi="Helvetica"/>
          <w:color w:val="FFFFFF"/>
          <w:spacing w:val="-5"/>
          <w:sz w:val="104"/>
        </w:rPr>
        <w:t>BAC</w:t>
      </w:r>
    </w:p>
    <w:p>
      <w:pPr>
        <w:pStyle w:val="Titreprincipal"/>
        <w:rPr/>
      </w:pPr>
      <w:r>
        <w:rPr>
          <w:color w:val="FFFFFF"/>
          <w:spacing w:val="11"/>
        </w:rPr>
        <w:t>AbiBAC</w:t>
      </w:r>
    </w:p>
    <w:p>
      <w:pPr>
        <w:sectPr>
          <w:type w:val="nextPage"/>
          <w:pgSz w:w="11906" w:h="16838"/>
          <w:pgMar w:left="400" w:right="560" w:gutter="0" w:header="0" w:top="1920" w:footer="0" w:bottom="280"/>
          <w:pgNumType w:fmt="decimal"/>
          <w:formProt w:val="false"/>
          <w:textDirection w:val="lrTb"/>
          <w:docGrid w:type="default" w:linePitch="600" w:charSpace="36864"/>
        </w:sectPr>
      </w:pPr>
    </w:p>
    <w:p>
      <w:pPr>
        <w:pStyle w:val="Corpsdetexte"/>
        <w:spacing w:lineRule="auto" w:line="276" w:before="112" w:after="0"/>
        <w:ind w:left="2321" w:right="4" w:hanging="0"/>
        <w:rPr/>
      </w:pPr>
      <w:r>
        <w:rPr>
          <w:color w:val="231F20"/>
        </w:rPr>
        <w:t xml:space="preserve">Il permet de présenter, à la fois les épreuves du </w:t>
      </w:r>
      <w:r>
        <w:rPr>
          <w:rFonts w:ascii="Helvetica" w:hAnsi="Helvetica"/>
          <w:color w:val="231F20"/>
          <w:spacing w:val="-6"/>
        </w:rPr>
        <w:t>baccalauréat général et l’Abitur</w:t>
      </w:r>
      <w:r>
        <w:rPr>
          <w:rFonts w:ascii="Helvetica" w:hAnsi="Helvetica"/>
          <w:color w:val="231F20"/>
          <w:spacing w:val="8"/>
        </w:rPr>
        <w:t xml:space="preserve"> </w:t>
      </w:r>
      <w:r>
        <w:rPr>
          <w:rFonts w:ascii="Helvetica" w:hAnsi="Helvetica"/>
          <w:color w:val="231F20"/>
          <w:spacing w:val="-6"/>
        </w:rPr>
        <w:t>al</w:t>
      </w:r>
      <w:r>
        <w:rPr>
          <w:rFonts w:ascii="Helvetica" w:hAnsi="Helvetica"/>
          <w:color w:val="231F20"/>
        </w:rPr>
        <w:t>lemand</w:t>
      </w:r>
      <w:r>
        <w:rPr>
          <w:rFonts w:ascii="Helvetica" w:hAnsi="Helvetica"/>
          <w:color w:val="231F20"/>
          <w:spacing w:val="-8"/>
        </w:rPr>
        <w:t xml:space="preserve"> </w:t>
      </w:r>
      <w:r>
        <w:rPr>
          <w:rFonts w:ascii="Helvetica" w:hAnsi="Helvetica"/>
          <w:color w:val="231F20"/>
        </w:rPr>
        <w:t>(allgemeine</w:t>
      </w:r>
      <w:r>
        <w:rPr>
          <w:rFonts w:ascii="Helvetica" w:hAnsi="Helvetica"/>
          <w:color w:val="231F20"/>
          <w:spacing w:val="-8"/>
        </w:rPr>
        <w:t xml:space="preserve"> </w:t>
      </w:r>
      <w:r>
        <w:rPr>
          <w:rFonts w:ascii="Helvetica" w:hAnsi="Helvetica"/>
          <w:color w:val="231F20"/>
        </w:rPr>
        <w:t>Hochschulreife). Ces</w:t>
      </w:r>
      <w:r>
        <w:rPr>
          <w:rFonts w:ascii="Helvetica" w:hAnsi="Helvetica"/>
          <w:color w:val="231F20"/>
          <w:spacing w:val="-8"/>
        </w:rPr>
        <w:t xml:space="preserve"> </w:t>
      </w:r>
      <w:r>
        <w:rPr>
          <w:rFonts w:ascii="Helvetica" w:hAnsi="Helvetica"/>
          <w:color w:val="231F20"/>
        </w:rPr>
        <w:t xml:space="preserve">diplômes </w:t>
      </w:r>
      <w:r>
        <w:rPr>
          <w:color w:val="231F20"/>
        </w:rPr>
        <w:t xml:space="preserve">nationaux obtenus simultanément confèrent aux AbiBacheliers le droit d’accéder à l’enseignement supérieur français et à l’enseignement supérieur </w:t>
      </w:r>
      <w:r>
        <w:rPr>
          <w:color w:val="231F20"/>
          <w:spacing w:val="-2"/>
        </w:rPr>
        <w:t>allemand.</w:t>
      </w:r>
      <w:r>
        <mc:AlternateContent>
          <mc:Choice Requires="wps">
            <w:drawing>
              <wp:anchor behindDoc="0" distT="0" distB="0" distL="114300" distR="114300" simplePos="0" locked="0" layoutInCell="0" allowOverlap="1" relativeHeight="2">
                <wp:simplePos x="0" y="0"/>
                <wp:positionH relativeFrom="page">
                  <wp:posOffset>363220</wp:posOffset>
                </wp:positionH>
                <wp:positionV relativeFrom="paragraph">
                  <wp:posOffset>80645</wp:posOffset>
                </wp:positionV>
                <wp:extent cx="678180" cy="3230245"/>
                <wp:effectExtent l="0" t="0" r="0" b="0"/>
                <wp:wrapNone/>
                <wp:docPr id="4" name="Cadre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8180" cy="3230245"/>
                        </a:xfrm>
                        <a:prstGeom prst="rect"/>
                        <a:solidFill>
                          <a:srgbClr val="FFFFFF">
                            <a:alpha val="0"/>
                          </a:srgbClr>
                        </a:solidFill>
                      </wps:spPr>
                      <wps:txbx>
                        <w:txbxContent>
                          <w:p>
                            <w:pPr>
                              <w:pStyle w:val="Contenudecadre"/>
                              <w:spacing w:lineRule="auto" w:line="182" w:before="93" w:after="0"/>
                              <w:ind w:left="20" w:firstLine="3211"/>
                              <w:rPr>
                                <w:rFonts w:ascii="Arial Black" w:hAnsi="Arial Black"/>
                                <w:sz w:val="44"/>
                              </w:rPr>
                            </w:pPr>
                            <w:r>
                              <w:rPr>
                                <w:rFonts w:ascii="Arial Black" w:hAnsi="Arial Black"/>
                                <w:color w:val="253E89"/>
                                <w:spacing w:val="-2"/>
                                <w:sz w:val="44"/>
                              </w:rPr>
                              <w:t xml:space="preserve">AbiBAC </w:t>
                            </w:r>
                            <w:r>
                              <w:rPr>
                                <w:rFonts w:ascii="Arial Black" w:hAnsi="Arial Black"/>
                                <w:color w:val="253E89"/>
                                <w:sz w:val="44"/>
                              </w:rPr>
                              <w:t>Bac</w:t>
                            </w:r>
                            <w:r>
                              <w:rPr>
                                <w:rFonts w:ascii="Arial Black" w:hAnsi="Arial Black"/>
                                <w:color w:val="253E89"/>
                                <w:spacing w:val="37"/>
                                <w:sz w:val="44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color w:val="253E89"/>
                                <w:sz w:val="44"/>
                              </w:rPr>
                              <w:t>franco-</w:t>
                            </w:r>
                            <w:r>
                              <w:rPr>
                                <w:rFonts w:ascii="Arial Black" w:hAnsi="Arial Black"/>
                                <w:color w:val="253E89"/>
                                <w:spacing w:val="-2"/>
                                <w:sz w:val="44"/>
                              </w:rPr>
                              <w:t>allemand</w:t>
                            </w:r>
                          </w:p>
                        </w:txbxContent>
                      </wps:txbx>
                      <wps:bodyPr anchor="t" lIns="0" tIns="0" rIns="0" bIns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rotation:-0;width:53.4pt;height:254.35pt;mso-wrap-distance-left:9pt;mso-wrap-distance-right:9pt;mso-wrap-distance-top:0pt;mso-wrap-distance-bottom:0pt;margin-top:6.35pt;mso-position-vertical-relative:text;margin-left:28.6pt;mso-position-horizontal-relative:page">
                <v:textbox inset="0in,0in,0in,0in">
                  <w:txbxContent>
                    <w:p>
                      <w:pPr>
                        <w:pStyle w:val="Contenudecadre"/>
                        <w:spacing w:lineRule="auto" w:line="182" w:before="93" w:after="0"/>
                        <w:ind w:left="20" w:firstLine="3211"/>
                        <w:rPr>
                          <w:rFonts w:ascii="Arial Black" w:hAnsi="Arial Black"/>
                          <w:sz w:val="44"/>
                        </w:rPr>
                      </w:pPr>
                      <w:r>
                        <w:rPr>
                          <w:rFonts w:ascii="Arial Black" w:hAnsi="Arial Black"/>
                          <w:color w:val="253E89"/>
                          <w:spacing w:val="-2"/>
                          <w:sz w:val="44"/>
                        </w:rPr>
                        <w:t xml:space="preserve">AbiBAC </w:t>
                      </w:r>
                      <w:r>
                        <w:rPr>
                          <w:rFonts w:ascii="Arial Black" w:hAnsi="Arial Black"/>
                          <w:color w:val="253E89"/>
                          <w:sz w:val="44"/>
                        </w:rPr>
                        <w:t>Bac</w:t>
                      </w:r>
                      <w:r>
                        <w:rPr>
                          <w:rFonts w:ascii="Arial Black" w:hAnsi="Arial Black"/>
                          <w:color w:val="253E89"/>
                          <w:spacing w:val="37"/>
                          <w:sz w:val="44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color w:val="253E89"/>
                          <w:sz w:val="44"/>
                        </w:rPr>
                        <w:t>franco-</w:t>
                      </w:r>
                      <w:r>
                        <w:rPr>
                          <w:rFonts w:ascii="Arial Black" w:hAnsi="Arial Black"/>
                          <w:color w:val="253E89"/>
                          <w:spacing w:val="-2"/>
                          <w:sz w:val="44"/>
                        </w:rPr>
                        <w:t>allemand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Corpsdetexte"/>
        <w:spacing w:lineRule="auto" w:line="276" w:before="112" w:after="0"/>
        <w:ind w:left="2321" w:right="4" w:hanging="0"/>
        <w:rPr/>
      </w:pPr>
      <w:r>
        <w:rPr>
          <w:color w:val="231F20"/>
        </w:rPr>
        <w:t xml:space="preserve">Chaque établissement français proposant la sec- </w:t>
      </w:r>
      <w:r>
        <w:rPr>
          <w:color w:val="231F20"/>
          <w:spacing w:val="-2"/>
        </w:rPr>
        <w:t>tion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AbiBac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a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un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établissement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allemand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 xml:space="preserve">partenaire </w:t>
      </w:r>
      <w:r>
        <w:rPr>
          <w:color w:val="231F20"/>
        </w:rPr>
        <w:t>où des élèves suivent un cursus identique.</w:t>
      </w:r>
    </w:p>
    <w:p>
      <w:pPr>
        <w:pStyle w:val="Corpsdetexte"/>
        <w:spacing w:before="4" w:after="0"/>
        <w:ind w:left="0" w:hanging="0"/>
        <w:jc w:val="left"/>
        <w:rPr>
          <w:sz w:val="14"/>
        </w:rPr>
      </w:pPr>
      <w:r>
        <w:rPr>
          <w:sz w:val="14"/>
        </w:rPr>
      </w:r>
    </w:p>
    <w:p>
      <w:pPr>
        <w:pStyle w:val="Titre1"/>
        <w:spacing w:lineRule="auto" w:line="220"/>
        <w:rPr/>
      </w:pPr>
      <w:r>
        <w:rPr>
          <w:color w:val="253E89"/>
        </w:rPr>
        <w:t>À</w:t>
      </w:r>
      <w:r>
        <w:rPr>
          <w:color w:val="253E89"/>
          <w:spacing w:val="-19"/>
        </w:rPr>
        <w:t xml:space="preserve"> </w:t>
      </w:r>
      <w:r>
        <w:rPr>
          <w:color w:val="253E89"/>
        </w:rPr>
        <w:t>QUI</w:t>
      </w:r>
      <w:r>
        <w:rPr>
          <w:color w:val="253E89"/>
          <w:spacing w:val="-19"/>
        </w:rPr>
        <w:t xml:space="preserve"> </w:t>
      </w:r>
      <w:r>
        <w:rPr>
          <w:color w:val="253E89"/>
        </w:rPr>
        <w:t>S’ADRESSE L’ABIBAC ?</w:t>
      </w:r>
    </w:p>
    <w:p>
      <w:pPr>
        <w:pStyle w:val="Corpsdetexte"/>
        <w:spacing w:lineRule="auto" w:line="276" w:before="17" w:after="0"/>
        <w:ind w:left="2321" w:right="33" w:hanging="0"/>
        <w:jc w:val="left"/>
        <w:rPr/>
      </w:pPr>
      <w:r>
        <w:rPr>
          <w:rFonts w:ascii="Helvetica" w:hAnsi="Helvetica"/>
          <w:color w:val="231F20"/>
        </w:rPr>
        <w:t>La section AbiBac est ouverte, dès la seconde,</w:t>
      </w:r>
      <w:r>
        <w:rPr>
          <w:rFonts w:ascii="Helvetica" w:hAnsi="Helvetica"/>
          <w:color w:val="231F20"/>
          <w:spacing w:val="80"/>
        </w:rPr>
        <w:t xml:space="preserve"> </w:t>
      </w:r>
      <w:r>
        <w:rPr>
          <w:color w:val="231F20"/>
        </w:rPr>
        <w:t xml:space="preserve">aux élèves susceptibles d’atteindre le niveau B1 </w:t>
      </w:r>
      <w:r>
        <w:rPr>
          <w:rFonts w:ascii="Helvetica" w:hAnsi="Helvetica"/>
          <w:color w:val="231F20"/>
        </w:rPr>
        <w:t xml:space="preserve">du CECRL avant l’entrée en classe de Première. </w:t>
      </w:r>
      <w:r>
        <w:rPr>
          <w:color w:val="231F20"/>
        </w:rPr>
        <w:t>Cette section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concerne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donc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les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élèves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motivés ayant étudié l’allemand au collège et attestant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d’un niveau correct.</w:t>
      </w:r>
    </w:p>
    <w:p>
      <w:pPr>
        <w:pStyle w:val="Corpsdetexte"/>
        <w:spacing w:before="8" w:after="0"/>
        <w:ind w:left="0" w:hanging="0"/>
        <w:jc w:val="left"/>
        <w:rPr>
          <w:sz w:val="16"/>
        </w:rPr>
      </w:pPr>
      <w:r>
        <w:rPr>
          <w:sz w:val="16"/>
        </w:rPr>
      </w:r>
    </w:p>
    <w:p>
      <w:pPr>
        <w:pStyle w:val="Titre1"/>
        <w:rPr/>
      </w:pPr>
      <w:r>
        <w:rPr>
          <w:color w:val="253E89"/>
        </w:rPr>
        <w:t>QUEL</w:t>
      </w:r>
      <w:r>
        <w:rPr>
          <w:color w:val="253E89"/>
          <w:spacing w:val="-8"/>
        </w:rPr>
        <w:t xml:space="preserve"> </w:t>
      </w:r>
      <w:r>
        <w:rPr>
          <w:color w:val="253E89"/>
        </w:rPr>
        <w:t>CONTENU</w:t>
      </w:r>
      <w:r>
        <w:rPr>
          <w:color w:val="253E89"/>
          <w:spacing w:val="-4"/>
        </w:rPr>
        <w:t xml:space="preserve"> </w:t>
      </w:r>
      <w:r>
        <w:rPr>
          <w:color w:val="253E89"/>
          <w:spacing w:val="-10"/>
        </w:rPr>
        <w:t>?</w:t>
      </w:r>
    </w:p>
    <w:p>
      <w:pPr>
        <w:pStyle w:val="Corpsdetexte"/>
        <w:spacing w:lineRule="auto" w:line="276" w:before="12" w:after="0"/>
        <w:ind w:left="2321" w:right="5" w:hanging="0"/>
        <w:rPr/>
      </w:pPr>
      <w:r>
        <w:rPr>
          <w:rFonts w:ascii="Helvetica" w:hAnsi="Helvetica"/>
          <w:color w:val="231F20"/>
        </w:rPr>
        <w:t xml:space="preserve">Enseignement spécifique de langue et littérature </w:t>
      </w:r>
      <w:r>
        <w:rPr>
          <w:color w:val="231F20"/>
        </w:rPr>
        <w:t>allemandes : 6 heures hebdomadaires.</w:t>
      </w:r>
    </w:p>
    <w:p>
      <w:pPr>
        <w:pStyle w:val="Corpsdetexte"/>
        <w:spacing w:lineRule="auto" w:line="276"/>
        <w:ind w:left="2321" w:right="5" w:hanging="0"/>
        <w:rPr/>
      </w:pPr>
      <w:r>
        <w:rPr>
          <w:rFonts w:ascii="Helvetica" w:hAnsi="Helvetica"/>
          <w:color w:val="231F20"/>
        </w:rPr>
        <w:t xml:space="preserve">Enseignement spécifique d’Histoire-géographie : </w:t>
      </w:r>
      <w:r>
        <w:rPr>
          <w:rFonts w:ascii="Helvetica" w:hAnsi="Helvetica"/>
          <w:color w:val="231F20"/>
        </w:rPr>
        <w:t>3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heures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hebdomadaires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Seconde,</w:t>
      </w:r>
      <w:r>
        <w:rPr>
          <w:color w:val="231F20"/>
          <w:spacing w:val="-13"/>
        </w:rPr>
        <w:t xml:space="preserve"> 4 </w:t>
      </w:r>
      <w:r>
        <w:rPr>
          <w:color w:val="231F20"/>
        </w:rPr>
        <w:t>en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Première et en Terminale.</w:t>
      </w:r>
    </w:p>
    <w:p>
      <w:pPr>
        <w:pStyle w:val="Corpsdetexte"/>
        <w:spacing w:before="8" w:after="0"/>
        <w:ind w:left="0" w:hanging="0"/>
        <w:jc w:val="left"/>
        <w:rPr>
          <w:sz w:val="16"/>
        </w:rPr>
      </w:pPr>
      <w:r>
        <w:rPr>
          <w:sz w:val="16"/>
        </w:rPr>
      </w:r>
    </w:p>
    <w:p>
      <w:pPr>
        <w:pStyle w:val="Titre1"/>
        <w:rPr>
          <w:color w:val="253E89"/>
        </w:rPr>
      </w:pPr>
      <w:r>
        <w:rPr>
          <w:color w:val="253E89"/>
        </w:rPr>
      </w:r>
    </w:p>
    <w:p>
      <w:pPr>
        <w:pStyle w:val="Titre1"/>
        <w:rPr>
          <w:color w:val="253E89"/>
          <w:spacing w:val="-10"/>
        </w:rPr>
      </w:pPr>
      <w:r>
        <w:rPr>
          <w:color w:val="253E89"/>
        </w:rPr>
        <w:t>QUEL</w:t>
      </w:r>
      <w:r>
        <w:rPr>
          <w:color w:val="253E89"/>
          <w:spacing w:val="-5"/>
        </w:rPr>
        <w:t xml:space="preserve"> </w:t>
      </w:r>
      <w:r>
        <w:rPr>
          <w:color w:val="253E89"/>
        </w:rPr>
        <w:t xml:space="preserve">EXAMEN </w:t>
      </w:r>
      <w:r>
        <w:rPr>
          <w:color w:val="253E89"/>
          <w:spacing w:val="-10"/>
        </w:rPr>
        <w:t>?</w:t>
      </w:r>
    </w:p>
    <w:p>
      <w:pPr>
        <w:pStyle w:val="Corpsdetexte"/>
        <w:spacing w:lineRule="auto" w:line="276" w:before="12" w:after="0"/>
        <w:ind w:left="2321" w:right="5" w:hanging="0"/>
        <w:rPr>
          <w:rFonts w:ascii="Helvetica" w:hAnsi="Helvetica"/>
        </w:rPr>
      </w:pPr>
      <w:r>
        <w:rPr>
          <w:rFonts w:ascii="Helvetica" w:hAnsi="Helvetica"/>
          <w:color w:val="231F20"/>
        </w:rPr>
        <w:t xml:space="preserve">Les candidats composent normalement pour le </w:t>
      </w:r>
      <w:r>
        <w:rPr>
          <w:color w:val="231F20"/>
        </w:rPr>
        <w:t>général du baccalauréat, sauf en Histoire-géogra</w:t>
      </w:r>
      <w:r>
        <w:rPr>
          <w:rFonts w:ascii="Helvetica" w:hAnsi="Helvetica"/>
          <w:color w:val="231F20"/>
        </w:rPr>
        <w:t>phie et en allemand.</w:t>
      </w:r>
    </w:p>
    <w:p>
      <w:pPr>
        <w:pStyle w:val="Corpsdetexte"/>
        <w:spacing w:lineRule="auto" w:line="276" w:before="113" w:after="0"/>
        <w:ind w:left="2321" w:right="5" w:hanging="0"/>
        <w:rPr/>
      </w:pPr>
      <w:r>
        <w:rPr>
          <w:rFonts w:ascii="Helvetica" w:hAnsi="Helvetica"/>
          <w:color w:val="231F20"/>
          <w:spacing w:val="-4"/>
        </w:rPr>
        <w:t>L’examen</w:t>
      </w:r>
      <w:r>
        <w:rPr>
          <w:rFonts w:ascii="Helvetica" w:hAnsi="Helvetica"/>
          <w:color w:val="231F20"/>
          <w:spacing w:val="-7"/>
        </w:rPr>
        <w:t xml:space="preserve"> </w:t>
      </w:r>
      <w:r>
        <w:rPr>
          <w:rFonts w:ascii="Helvetica" w:hAnsi="Helvetica"/>
          <w:color w:val="231F20"/>
          <w:spacing w:val="-4"/>
        </w:rPr>
        <w:t>spécifique</w:t>
      </w:r>
      <w:r>
        <w:rPr>
          <w:rFonts w:ascii="Helvetica" w:hAnsi="Helvetica"/>
          <w:color w:val="231F20"/>
          <w:spacing w:val="-7"/>
        </w:rPr>
        <w:t xml:space="preserve"> </w:t>
      </w:r>
      <w:r>
        <w:rPr>
          <w:rFonts w:ascii="Helvetica" w:hAnsi="Helvetica"/>
          <w:color w:val="231F20"/>
          <w:spacing w:val="-4"/>
        </w:rPr>
        <w:t>se</w:t>
      </w:r>
      <w:r>
        <w:rPr>
          <w:rFonts w:ascii="Helvetica" w:hAnsi="Helvetica"/>
          <w:color w:val="231F20"/>
          <w:spacing w:val="-7"/>
        </w:rPr>
        <w:t xml:space="preserve"> </w:t>
      </w:r>
      <w:r>
        <w:rPr>
          <w:rFonts w:ascii="Helvetica" w:hAnsi="Helvetica"/>
          <w:color w:val="231F20"/>
          <w:spacing w:val="-4"/>
        </w:rPr>
        <w:t>compose</w:t>
      </w:r>
      <w:r>
        <w:rPr>
          <w:rFonts w:ascii="Helvetica" w:hAnsi="Helvetica"/>
          <w:color w:val="231F20"/>
          <w:spacing w:val="-7"/>
        </w:rPr>
        <w:t xml:space="preserve"> </w:t>
      </w:r>
      <w:r>
        <w:rPr>
          <w:rFonts w:ascii="Helvetica" w:hAnsi="Helvetica"/>
          <w:color w:val="231F20"/>
          <w:spacing w:val="-4"/>
        </w:rPr>
        <w:t>de</w:t>
      </w:r>
      <w:r>
        <w:rPr>
          <w:rFonts w:ascii="Helvetica" w:hAnsi="Helvetica"/>
          <w:color w:val="231F20"/>
          <w:spacing w:val="-7"/>
        </w:rPr>
        <w:t xml:space="preserve"> </w:t>
      </w:r>
      <w:r>
        <w:rPr>
          <w:rFonts w:ascii="Helvetica" w:hAnsi="Helvetica"/>
          <w:color w:val="231F20"/>
          <w:spacing w:val="-4"/>
        </w:rPr>
        <w:t>trois</w:t>
      </w:r>
      <w:bookmarkStart w:id="0" w:name="_GoBack"/>
      <w:bookmarkEnd w:id="0"/>
      <w:r>
        <w:rPr>
          <w:rFonts w:ascii="Helvetica" w:hAnsi="Helvetica"/>
          <w:color w:val="231F20"/>
          <w:spacing w:val="-7"/>
        </w:rPr>
        <w:t xml:space="preserve"> </w:t>
      </w:r>
      <w:r>
        <w:rPr>
          <w:rFonts w:ascii="Helvetica" w:hAnsi="Helvetica"/>
          <w:color w:val="231F20"/>
          <w:spacing w:val="-4"/>
        </w:rPr>
        <w:t xml:space="preserve">épreuves </w:t>
      </w:r>
      <w:r>
        <w:rPr>
          <w:rFonts w:ascii="Helvetica" w:hAnsi="Helvetica"/>
          <w:color w:val="231F20"/>
          <w:spacing w:val="-4"/>
        </w:rPr>
        <w:t xml:space="preserve">finales </w:t>
      </w:r>
      <w:r>
        <w:rPr>
          <w:color w:val="231F20"/>
        </w:rPr>
        <w:t>en langue allemande :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2458" w:leader="none"/>
        </w:tabs>
        <w:spacing w:lineRule="auto" w:line="276"/>
        <w:ind w:left="2457" w:right="5" w:hanging="137"/>
        <w:jc w:val="both"/>
        <w:rPr>
          <w:sz w:val="18"/>
        </w:rPr>
      </w:pPr>
      <w:r>
        <w:rPr>
          <w:color w:val="231F20"/>
          <w:sz w:val="18"/>
        </w:rPr>
        <w:t>Histoire-géographie,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un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écrit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de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5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heures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en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deux parties : Histoire et Géographie.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2462" w:leader="none"/>
        </w:tabs>
        <w:spacing w:lineRule="auto" w:line="276"/>
        <w:ind w:left="2461" w:right="2" w:hanging="141"/>
        <w:jc w:val="both"/>
        <w:rPr>
          <w:sz w:val="18"/>
        </w:rPr>
      </w:pPr>
      <w:r>
        <w:rPr>
          <w:rFonts w:ascii="Helvetica" w:hAnsi="Helvetica"/>
          <w:color w:val="231F20"/>
          <w:sz w:val="18"/>
        </w:rPr>
        <w:t>Langue</w:t>
      </w:r>
      <w:r>
        <w:rPr>
          <w:rFonts w:ascii="Helvetica" w:hAnsi="Helvetica"/>
          <w:color w:val="231F20"/>
          <w:spacing w:val="-2"/>
          <w:sz w:val="18"/>
        </w:rPr>
        <w:t xml:space="preserve"> </w:t>
      </w:r>
      <w:r>
        <w:rPr>
          <w:rFonts w:ascii="Helvetica" w:hAnsi="Helvetica"/>
          <w:color w:val="231F20"/>
          <w:sz w:val="18"/>
        </w:rPr>
        <w:t>et</w:t>
      </w:r>
      <w:r>
        <w:rPr>
          <w:rFonts w:ascii="Helvetica" w:hAnsi="Helvetica"/>
          <w:color w:val="231F20"/>
          <w:spacing w:val="-2"/>
          <w:sz w:val="18"/>
        </w:rPr>
        <w:t xml:space="preserve"> </w:t>
      </w:r>
      <w:r>
        <w:rPr>
          <w:rFonts w:ascii="Helvetica" w:hAnsi="Helvetica"/>
          <w:color w:val="231F20"/>
          <w:sz w:val="18"/>
        </w:rPr>
        <w:t>littérature</w:t>
      </w:r>
      <w:r>
        <w:rPr>
          <w:rFonts w:ascii="Helvetica" w:hAnsi="Helvetica"/>
          <w:color w:val="231F20"/>
          <w:spacing w:val="-2"/>
          <w:sz w:val="18"/>
        </w:rPr>
        <w:t xml:space="preserve"> </w:t>
      </w:r>
      <w:r>
        <w:rPr>
          <w:rFonts w:ascii="Helvetica" w:hAnsi="Helvetica"/>
          <w:color w:val="231F20"/>
          <w:sz w:val="18"/>
        </w:rPr>
        <w:t>allemandes</w:t>
      </w:r>
      <w:r>
        <w:rPr>
          <w:rFonts w:ascii="Helvetica" w:hAnsi="Helvetica"/>
          <w:color w:val="231F20"/>
          <w:spacing w:val="-2"/>
          <w:sz w:val="18"/>
        </w:rPr>
        <w:t xml:space="preserve"> </w:t>
      </w:r>
      <w:r>
        <w:rPr>
          <w:rFonts w:ascii="Helvetica" w:hAnsi="Helvetica"/>
          <w:color w:val="231F20"/>
          <w:sz w:val="18"/>
        </w:rPr>
        <w:t>:</w:t>
      </w:r>
      <w:r>
        <w:rPr>
          <w:rFonts w:ascii="Helvetica" w:hAnsi="Helvetica"/>
          <w:color w:val="231F20"/>
          <w:spacing w:val="-2"/>
          <w:sz w:val="18"/>
        </w:rPr>
        <w:t xml:space="preserve"> </w:t>
      </w:r>
      <w:r>
        <w:rPr>
          <w:rFonts w:ascii="Helvetica" w:hAnsi="Helvetica"/>
          <w:color w:val="231F20"/>
          <w:sz w:val="18"/>
        </w:rPr>
        <w:t>un</w:t>
      </w:r>
      <w:r>
        <w:rPr>
          <w:rFonts w:ascii="Helvetica" w:hAnsi="Helvetica"/>
          <w:color w:val="231F20"/>
          <w:spacing w:val="-2"/>
          <w:sz w:val="18"/>
        </w:rPr>
        <w:t xml:space="preserve"> </w:t>
      </w:r>
      <w:r>
        <w:rPr>
          <w:rFonts w:ascii="Helvetica" w:hAnsi="Helvetica"/>
          <w:color w:val="231F20"/>
          <w:sz w:val="18"/>
        </w:rPr>
        <w:t>écrit</w:t>
      </w:r>
      <w:r>
        <w:rPr>
          <w:rFonts w:ascii="Helvetica" w:hAnsi="Helvetica"/>
          <w:color w:val="231F20"/>
          <w:spacing w:val="-2"/>
          <w:sz w:val="18"/>
        </w:rPr>
        <w:t xml:space="preserve"> </w:t>
      </w:r>
      <w:r>
        <w:rPr>
          <w:rFonts w:ascii="Helvetica" w:hAnsi="Helvetica"/>
          <w:color w:val="231F20"/>
          <w:sz w:val="18"/>
        </w:rPr>
        <w:t>de</w:t>
      </w:r>
      <w:r>
        <w:rPr>
          <w:rFonts w:ascii="Helvetica" w:hAnsi="Helvetica"/>
          <w:color w:val="231F20"/>
          <w:spacing w:val="-2"/>
          <w:sz w:val="18"/>
        </w:rPr>
        <w:t xml:space="preserve"> </w:t>
      </w:r>
      <w:r>
        <w:rPr>
          <w:rFonts w:ascii="Helvetica" w:hAnsi="Helvetica"/>
          <w:color w:val="231F20"/>
          <w:sz w:val="18"/>
        </w:rPr>
        <w:t>5</w:t>
      </w:r>
      <w:r>
        <w:rPr>
          <w:rFonts w:ascii="Helvetica" w:hAnsi="Helvetica"/>
          <w:color w:val="231F20"/>
          <w:spacing w:val="-2"/>
          <w:sz w:val="18"/>
        </w:rPr>
        <w:t xml:space="preserve"> </w:t>
      </w:r>
      <w:r>
        <w:rPr>
          <w:rFonts w:ascii="Helvetica" w:hAnsi="Helvetica"/>
          <w:color w:val="231F20"/>
          <w:sz w:val="18"/>
        </w:rPr>
        <w:t xml:space="preserve">h </w:t>
      </w:r>
      <w:r>
        <w:rPr>
          <w:color w:val="231F20"/>
          <w:sz w:val="18"/>
        </w:rPr>
        <w:t>et un oral. Après une préparation de 30 mn, les élèves s’expriment en face d’un jury de professeurs allemands et français.</w:t>
      </w:r>
    </w:p>
    <w:p>
      <w:pPr>
        <w:pStyle w:val="Corpsdetexte"/>
        <w:spacing w:lineRule="auto" w:line="276" w:before="112" w:after="0"/>
        <w:ind w:left="406" w:right="118" w:hanging="0"/>
        <w:rPr/>
      </w:pPr>
      <w:r>
        <w:br w:type="column"/>
      </w:r>
      <w:r>
        <w:rPr>
          <w:color w:val="231F20"/>
        </w:rPr>
        <w:t>S’y ajoute la note moyenne de deux épreuves d’histoire-géographie passées lors du contrôle continu.</w:t>
      </w:r>
    </w:p>
    <w:p>
      <w:pPr>
        <w:pStyle w:val="Corpsdetexte"/>
        <w:spacing w:lineRule="auto" w:line="276" w:before="112" w:after="0"/>
        <w:ind w:left="406" w:right="118" w:hanging="0"/>
        <w:rPr/>
      </w:pPr>
      <w:r>
        <w:rPr>
          <w:color w:val="231F20"/>
        </w:rPr>
        <w:t>Pour être AbiBacheliers, les élèves doivent avoir au moins la moyenne aussi bien à leur Abitur qu’à leur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Bac.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Il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est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impossible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recevoir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l’Abitur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sans avoir réussi le Bac tandis que l’inverse est possible.</w:t>
      </w:r>
    </w:p>
    <w:p>
      <w:pPr>
        <w:pStyle w:val="Corpsdetexte"/>
        <w:ind w:left="0" w:hanging="0"/>
        <w:jc w:val="left"/>
        <w:rPr>
          <w:sz w:val="15"/>
        </w:rPr>
      </w:pPr>
      <w:r>
        <w:rPr>
          <w:sz w:val="15"/>
        </w:rPr>
      </w:r>
    </w:p>
    <w:p>
      <w:pPr>
        <w:pStyle w:val="Titre1"/>
        <w:ind w:left="1334" w:hanging="0"/>
        <w:rPr/>
      </w:pPr>
      <w:r>
        <w:rPr>
          <w:color w:val="253E89"/>
        </w:rPr>
        <w:t>QUELS</w:t>
      </w:r>
      <w:r>
        <w:rPr>
          <w:color w:val="253E89"/>
          <w:spacing w:val="-5"/>
        </w:rPr>
        <w:t xml:space="preserve"> </w:t>
      </w:r>
      <w:r>
        <w:rPr>
          <w:color w:val="253E89"/>
        </w:rPr>
        <w:t>DÉBOUCHÉS</w:t>
      </w:r>
      <w:r>
        <w:rPr>
          <w:color w:val="253E89"/>
          <w:spacing w:val="-4"/>
        </w:rPr>
        <w:t xml:space="preserve"> </w:t>
      </w:r>
      <w:r>
        <w:rPr>
          <w:color w:val="253E89"/>
          <w:spacing w:val="-10"/>
        </w:rPr>
        <w:t>?</w:t>
      </w:r>
    </w:p>
    <w:p>
      <w:pPr>
        <w:pStyle w:val="Corpsdetexte"/>
        <w:spacing w:lineRule="auto" w:line="276" w:before="12" w:after="0"/>
        <w:ind w:left="406" w:right="111" w:hanging="0"/>
        <w:rPr/>
      </w:pPr>
      <w:r>
        <w:rPr>
          <w:rFonts w:ascii="Helvetica" w:hAnsi="Helvetica"/>
          <w:color w:val="231F20"/>
        </w:rPr>
        <w:t xml:space="preserve">Les élèves acquièrent un niveau très élevé en </w:t>
      </w:r>
      <w:r>
        <w:rPr>
          <w:color w:val="231F20"/>
        </w:rPr>
        <w:t>langue et civilisation allemandes.</w:t>
      </w:r>
    </w:p>
    <w:p>
      <w:pPr>
        <w:pStyle w:val="Corpsdetexte"/>
        <w:spacing w:lineRule="auto" w:line="276" w:before="113" w:after="0"/>
        <w:ind w:left="406" w:right="118" w:hanging="0"/>
        <w:rPr/>
      </w:pPr>
      <w:r>
        <w:rPr>
          <w:rFonts w:ascii="Helvetica" w:hAnsi="Helvetica"/>
          <w:color w:val="231F20"/>
        </w:rPr>
        <w:t>L’AbiBac est donc un atout fondamental dans le cadre</w:t>
      </w:r>
      <w:r>
        <w:rPr>
          <w:rFonts w:ascii="Helvetica" w:hAnsi="Helvetica"/>
          <w:color w:val="231F20"/>
          <w:spacing w:val="-2"/>
        </w:rPr>
        <w:t xml:space="preserve"> </w:t>
      </w:r>
      <w:r>
        <w:rPr>
          <w:rFonts w:ascii="Helvetica" w:hAnsi="Helvetica"/>
          <w:color w:val="231F20"/>
        </w:rPr>
        <w:t>européen.</w:t>
      </w:r>
      <w:r>
        <w:rPr>
          <w:rFonts w:ascii="Helvetica" w:hAnsi="Helvetica"/>
          <w:color w:val="231F20"/>
          <w:spacing w:val="-2"/>
        </w:rPr>
        <w:t xml:space="preserve"> </w:t>
      </w:r>
      <w:r>
        <w:rPr>
          <w:rFonts w:ascii="Helvetica" w:hAnsi="Helvetica"/>
          <w:color w:val="231F20"/>
        </w:rPr>
        <w:t>Il</w:t>
      </w:r>
      <w:r>
        <w:rPr>
          <w:rFonts w:ascii="Helvetica" w:hAnsi="Helvetica"/>
          <w:color w:val="231F20"/>
          <w:spacing w:val="-2"/>
        </w:rPr>
        <w:t xml:space="preserve"> </w:t>
      </w:r>
      <w:r>
        <w:rPr>
          <w:rFonts w:ascii="Helvetica" w:hAnsi="Helvetica"/>
          <w:color w:val="231F20"/>
        </w:rPr>
        <w:t>permet</w:t>
      </w:r>
      <w:r>
        <w:rPr>
          <w:rFonts w:ascii="Helvetica" w:hAnsi="Helvetica"/>
          <w:color w:val="231F20"/>
          <w:spacing w:val="-2"/>
        </w:rPr>
        <w:t xml:space="preserve"> </w:t>
      </w:r>
      <w:r>
        <w:rPr>
          <w:rFonts w:ascii="Helvetica" w:hAnsi="Helvetica"/>
          <w:color w:val="231F20"/>
        </w:rPr>
        <w:t>aux</w:t>
      </w:r>
      <w:r>
        <w:rPr>
          <w:rFonts w:ascii="Helvetica" w:hAnsi="Helvetica"/>
          <w:color w:val="231F20"/>
          <w:spacing w:val="-2"/>
        </w:rPr>
        <w:t xml:space="preserve"> </w:t>
      </w:r>
      <w:r>
        <w:rPr>
          <w:rFonts w:ascii="Helvetica" w:hAnsi="Helvetica"/>
          <w:color w:val="231F20"/>
        </w:rPr>
        <w:t>jeunes</w:t>
      </w:r>
      <w:r>
        <w:rPr>
          <w:rFonts w:ascii="Helvetica" w:hAnsi="Helvetica"/>
          <w:color w:val="231F20"/>
          <w:spacing w:val="-2"/>
        </w:rPr>
        <w:t xml:space="preserve"> </w:t>
      </w:r>
      <w:r>
        <w:rPr>
          <w:rFonts w:ascii="Helvetica" w:hAnsi="Helvetica"/>
          <w:color w:val="231F20"/>
        </w:rPr>
        <w:t>diplômés</w:t>
      </w:r>
      <w:r>
        <w:rPr>
          <w:rFonts w:ascii="Helvetica" w:hAnsi="Helvetica"/>
          <w:color w:val="231F20"/>
          <w:spacing w:val="-2"/>
        </w:rPr>
        <w:t xml:space="preserve"> </w:t>
      </w:r>
      <w:r>
        <w:rPr>
          <w:rFonts w:ascii="Helvetica" w:hAnsi="Helvetica"/>
          <w:color w:val="231F20"/>
        </w:rPr>
        <w:t xml:space="preserve">de </w:t>
      </w:r>
      <w:r>
        <w:rPr>
          <w:color w:val="231F20"/>
        </w:rPr>
        <w:t>poursuivre des études supérieures en Allemagne sans avoir à passer d’examen d’admission, autre que prévu pour les bacheliers allemands.</w:t>
      </w:r>
    </w:p>
    <w:p>
      <w:pPr>
        <w:pStyle w:val="Corpsdetexte"/>
        <w:spacing w:lineRule="auto" w:line="276" w:before="113" w:after="0"/>
        <w:ind w:left="406" w:right="118" w:hanging="0"/>
        <w:rPr/>
      </w:pPr>
      <w:r>
        <w:rPr>
          <w:rFonts w:ascii="Helvetica" w:hAnsi="Helvetica"/>
          <w:color w:val="231F20"/>
        </w:rPr>
        <w:t>L’AbiBac</w:t>
      </w:r>
      <w:r>
        <w:rPr>
          <w:rFonts w:ascii="Helvetica" w:hAnsi="Helvetica"/>
          <w:color w:val="231F20"/>
          <w:spacing w:val="-13"/>
        </w:rPr>
        <w:t xml:space="preserve"> </w:t>
      </w:r>
      <w:r>
        <w:rPr>
          <w:rFonts w:ascii="Helvetica" w:hAnsi="Helvetica"/>
          <w:color w:val="231F20"/>
        </w:rPr>
        <w:t>est</w:t>
      </w:r>
      <w:r>
        <w:rPr>
          <w:rFonts w:ascii="Helvetica" w:hAnsi="Helvetica"/>
          <w:color w:val="231F20"/>
          <w:spacing w:val="-12"/>
        </w:rPr>
        <w:t xml:space="preserve"> </w:t>
      </w:r>
      <w:r>
        <w:rPr>
          <w:rFonts w:ascii="Helvetica" w:hAnsi="Helvetica"/>
          <w:color w:val="231F20"/>
        </w:rPr>
        <w:t>privilégié</w:t>
      </w:r>
      <w:r>
        <w:rPr>
          <w:rFonts w:ascii="Helvetica" w:hAnsi="Helvetica"/>
          <w:color w:val="231F20"/>
          <w:spacing w:val="-13"/>
        </w:rPr>
        <w:t xml:space="preserve"> </w:t>
      </w:r>
      <w:r>
        <w:rPr>
          <w:rFonts w:ascii="Helvetica" w:hAnsi="Helvetica"/>
          <w:color w:val="231F20"/>
        </w:rPr>
        <w:t>par</w:t>
      </w:r>
      <w:r>
        <w:rPr>
          <w:rFonts w:ascii="Helvetica" w:hAnsi="Helvetica"/>
          <w:color w:val="231F20"/>
          <w:spacing w:val="-12"/>
        </w:rPr>
        <w:t xml:space="preserve"> </w:t>
      </w:r>
      <w:r>
        <w:rPr>
          <w:rFonts w:ascii="Helvetica" w:hAnsi="Helvetica"/>
          <w:color w:val="231F20"/>
        </w:rPr>
        <w:t>certaines</w:t>
      </w:r>
      <w:r>
        <w:rPr>
          <w:rFonts w:ascii="Helvetica" w:hAnsi="Helvetica"/>
          <w:color w:val="231F20"/>
          <w:spacing w:val="-13"/>
        </w:rPr>
        <w:t xml:space="preserve"> </w:t>
      </w:r>
      <w:r>
        <w:rPr>
          <w:rFonts w:ascii="Helvetica" w:hAnsi="Helvetica"/>
          <w:color w:val="231F20"/>
        </w:rPr>
        <w:t>écoles,</w:t>
      </w:r>
      <w:r>
        <w:rPr>
          <w:rFonts w:ascii="Helvetica" w:hAnsi="Helvetica"/>
          <w:color w:val="231F20"/>
          <w:spacing w:val="-13"/>
        </w:rPr>
        <w:t xml:space="preserve"> </w:t>
      </w:r>
      <w:r>
        <w:rPr>
          <w:rFonts w:ascii="Helvetica" w:hAnsi="Helvetica"/>
          <w:color w:val="231F20"/>
        </w:rPr>
        <w:t>notam</w:t>
      </w:r>
      <w:r>
        <w:rPr>
          <w:color w:val="231F20"/>
        </w:rPr>
        <w:t xml:space="preserve">ment celles disposant d’un double cursus avec un </w:t>
      </w:r>
      <w:r>
        <w:rPr>
          <w:color w:val="231F20"/>
          <w:spacing w:val="-2"/>
        </w:rPr>
        <w:t>établissement</w:t>
      </w:r>
      <w:r>
        <w:rPr>
          <w:color w:val="231F20"/>
          <w:spacing w:val="3"/>
        </w:rPr>
        <w:t xml:space="preserve"> </w:t>
      </w:r>
      <w:r>
        <w:rPr>
          <w:color w:val="231F20"/>
          <w:spacing w:val="-2"/>
        </w:rPr>
        <w:t>d’enseignement</w:t>
      </w:r>
      <w:r>
        <w:rPr>
          <w:color w:val="231F20"/>
          <w:spacing w:val="4"/>
        </w:rPr>
        <w:t xml:space="preserve"> </w:t>
      </w:r>
      <w:r>
        <w:rPr>
          <w:color w:val="231F20"/>
          <w:spacing w:val="-2"/>
        </w:rPr>
        <w:t>supérieur</w:t>
      </w:r>
      <w:r>
        <w:rPr>
          <w:color w:val="231F20"/>
          <w:spacing w:val="4"/>
        </w:rPr>
        <w:t xml:space="preserve"> </w:t>
      </w:r>
      <w:r>
        <w:rPr>
          <w:color w:val="231F20"/>
          <w:spacing w:val="-2"/>
        </w:rPr>
        <w:t>allemand.</w:t>
      </w:r>
    </w:p>
    <w:p>
      <w:pPr>
        <w:pStyle w:val="Corpsdetexte"/>
        <w:spacing w:lineRule="auto" w:line="276" w:before="113" w:after="0"/>
        <w:ind w:left="406" w:right="114" w:hanging="0"/>
        <w:rPr/>
      </w:pPr>
      <w:r>
        <w:rPr>
          <w:color w:val="231F20"/>
        </w:rPr>
        <w:t>Il offre une possibilité secondaire d’entrée dans certaines écoles (ex. : IEP Paris).</w:t>
      </w:r>
    </w:p>
    <w:p>
      <w:pPr>
        <w:pStyle w:val="Corpsdetexte"/>
        <w:spacing w:lineRule="auto" w:line="276" w:before="113" w:after="0"/>
        <w:ind w:left="406" w:right="116" w:hanging="0"/>
        <w:rPr/>
      </w:pPr>
      <w:r>
        <w:rPr>
          <w:color w:val="231F20"/>
        </w:rPr>
        <w:t>Par ailleurs, de plus en plus d’écoles d’ingénieurs ou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d’instituts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d’études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supérieures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offrent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des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cursus binationaux et travaillent en partenariat avec des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universités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allemandes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dans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le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cadre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l’Université Franco-Allemande (UFA).</w:t>
      </w:r>
    </w:p>
    <w:p>
      <w:pPr>
        <w:pStyle w:val="Corpsdetexte"/>
        <w:spacing w:before="112" w:after="0"/>
        <w:ind w:left="406" w:hanging="0"/>
        <w:rPr>
          <w:color w:val="231F20"/>
        </w:rPr>
      </w:pPr>
      <w:r>
        <w:rPr>
          <w:color w:val="231F20"/>
        </w:rPr>
      </w:r>
    </w:p>
    <w:p>
      <w:pPr>
        <w:pStyle w:val="Corpsdetexte"/>
        <w:spacing w:before="112" w:after="0"/>
        <w:ind w:left="406" w:hanging="0"/>
        <w:rPr/>
      </w:pPr>
      <w:r>
        <w:rPr>
          <w:color w:val="231F20"/>
        </w:rPr>
        <w:t>Plus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d’informations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0"/>
        </w:rPr>
        <w:t>: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547" w:leader="none"/>
        </w:tabs>
        <w:spacing w:lineRule="auto" w:line="276" w:before="33" w:after="0"/>
        <w:ind w:left="546" w:right="118" w:hanging="141"/>
        <w:rPr>
          <w:sz w:val="18"/>
        </w:rPr>
      </w:pPr>
      <w:hyperlink r:id="rId4">
        <w:r>
          <w:rPr>
            <w:color w:val="231F20"/>
            <w:sz w:val="18"/>
          </w:rPr>
          <w:t>www.forum-franco-allemand.org</w:t>
        </w:r>
        <w:r>
          <w:rPr>
            <w:color w:val="231F20"/>
            <w:spacing w:val="-27"/>
            <w:sz w:val="18"/>
          </w:rPr>
          <w:t xml:space="preserve"> </w:t>
        </w:r>
      </w:hyperlink>
      <w:r>
        <w:rPr>
          <w:color w:val="231F20"/>
          <w:sz w:val="18"/>
        </w:rPr>
        <w:t>(le</w:t>
      </w:r>
      <w:r>
        <w:rPr>
          <w:color w:val="231F20"/>
          <w:spacing w:val="-27"/>
          <w:sz w:val="18"/>
        </w:rPr>
        <w:t xml:space="preserve"> </w:t>
      </w:r>
      <w:r>
        <w:rPr>
          <w:color w:val="231F20"/>
          <w:sz w:val="18"/>
        </w:rPr>
        <w:t>forum</w:t>
      </w:r>
      <w:r>
        <w:rPr>
          <w:color w:val="231F20"/>
          <w:spacing w:val="-27"/>
          <w:sz w:val="18"/>
        </w:rPr>
        <w:t xml:space="preserve"> </w:t>
      </w:r>
      <w:r>
        <w:rPr>
          <w:color w:val="231F20"/>
          <w:sz w:val="18"/>
        </w:rPr>
        <w:t xml:space="preserve">franco- </w:t>
      </w:r>
      <w:r>
        <w:rPr>
          <w:color w:val="231F20"/>
          <w:spacing w:val="-2"/>
          <w:sz w:val="18"/>
        </w:rPr>
        <w:t>allemand),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547" w:leader="none"/>
        </w:tabs>
        <w:spacing w:lineRule="auto" w:line="276"/>
        <w:ind w:left="546" w:right="118" w:hanging="141"/>
        <w:rPr>
          <w:sz w:val="18"/>
        </w:rPr>
      </w:pPr>
      <w:r>
        <w:rPr>
          <w:color w:val="231F20"/>
          <w:sz w:val="18"/>
        </w:rPr>
        <w:t>www.dfh-ufa.org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(dans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les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cursus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de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 xml:space="preserve">l’Université </w:t>
      </w:r>
      <w:r>
        <w:rPr>
          <w:color w:val="231F20"/>
          <w:spacing w:val="-2"/>
          <w:sz w:val="18"/>
        </w:rPr>
        <w:t>Franco-Allemande),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547" w:leader="none"/>
        </w:tabs>
        <w:spacing w:lineRule="auto" w:line="276"/>
        <w:ind w:left="546" w:right="118" w:hanging="141"/>
        <w:rPr>
          <w:sz w:val="18"/>
        </w:rPr>
      </w:pPr>
      <w:hyperlink r:id="rId5">
        <w:r>
          <w:rPr>
            <w:color w:val="231F20"/>
            <w:sz w:val="18"/>
          </w:rPr>
          <w:t>www.voltaireonline.eu</w:t>
        </w:r>
      </w:hyperlink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(le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portail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des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étudiants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et des élèves européens).</w:t>
      </w:r>
    </w:p>
    <w:p>
      <w:pPr>
        <w:sectPr>
          <w:type w:val="continuous"/>
          <w:pgSz w:w="11906" w:h="16838"/>
          <w:pgMar w:left="400" w:right="560" w:gutter="0" w:header="0" w:top="1920" w:footer="0" w:bottom="280"/>
          <w:cols w:num="2" w:equalWidth="false" w:sep="false">
            <w:col w:w="6351" w:space="40"/>
            <w:col w:w="4554"/>
          </w:cols>
          <w:formProt w:val="false"/>
          <w:textDirection w:val="lrTb"/>
          <w:docGrid w:type="default" w:linePitch="600" w:charSpace="36864"/>
        </w:sectPr>
      </w:pPr>
    </w:p>
    <w:p>
      <w:pPr>
        <w:pStyle w:val="Corpsdetexte"/>
        <w:ind w:left="0" w:hanging="0"/>
        <w:jc w:val="left"/>
        <w:rPr>
          <w:sz w:val="20"/>
        </w:rPr>
      </w:pPr>
      <w:r>
        <w:rPr>
          <w:sz w:val="20"/>
        </w:rPr>
      </w:r>
    </w:p>
    <w:p>
      <w:pPr>
        <w:pStyle w:val="Corpsdetexte"/>
        <w:ind w:left="0" w:hanging="0"/>
        <w:jc w:val="left"/>
        <w:rPr>
          <w:sz w:val="20"/>
        </w:rPr>
      </w:pPr>
      <w:r>
        <w:rPr>
          <w:sz w:val="20"/>
        </w:rPr>
      </w:r>
    </w:p>
    <w:p>
      <w:pPr>
        <w:pStyle w:val="Corpsdetexte"/>
        <w:spacing w:before="1" w:after="0"/>
        <w:ind w:left="0" w:hanging="0"/>
        <w:jc w:val="left"/>
        <w:rPr/>
      </w:pPr>
      <w:r>
        <w:rPr/>
      </w:r>
    </w:p>
    <w:p>
      <w:pPr>
        <w:pStyle w:val="Corpsdetexte"/>
        <w:spacing w:before="70" w:after="0"/>
        <w:ind w:left="3891" w:hanging="0"/>
        <w:jc w:val="left"/>
        <w:rPr>
          <w:rFonts w:ascii="Helvetica" w:hAnsi="Helvetica"/>
        </w:rPr>
      </w:pPr>
      <w:r>
        <w:rPr>
          <w:rFonts w:ascii="Helvetica" w:hAnsi="Helvetica"/>
          <w:color w:val="253E89"/>
        </w:rPr>
        <w:t>61</w:t>
      </w:r>
      <w:r>
        <w:rPr>
          <w:rFonts w:ascii="Helvetica" w:hAnsi="Helvetica"/>
          <w:color w:val="253E89"/>
          <w:spacing w:val="-4"/>
        </w:rPr>
        <w:t xml:space="preserve"> </w:t>
      </w:r>
      <w:r>
        <w:rPr>
          <w:rFonts w:ascii="Helvetica" w:hAnsi="Helvetica"/>
          <w:color w:val="253E89"/>
        </w:rPr>
        <w:t>rue</w:t>
      </w:r>
      <w:r>
        <w:rPr>
          <w:rFonts w:ascii="Helvetica" w:hAnsi="Helvetica"/>
          <w:color w:val="253E89"/>
          <w:spacing w:val="-3"/>
        </w:rPr>
        <w:t xml:space="preserve"> </w:t>
      </w:r>
      <w:r>
        <w:rPr>
          <w:rFonts w:ascii="Helvetica" w:hAnsi="Helvetica"/>
          <w:color w:val="253E89"/>
        </w:rPr>
        <w:t>Léon-</w:t>
      </w:r>
      <w:r>
        <w:rPr>
          <w:rFonts w:ascii="Helvetica" w:hAnsi="Helvetica"/>
          <w:color w:val="253E89"/>
          <w:spacing w:val="-2"/>
        </w:rPr>
        <w:t>Jouhaux</w:t>
      </w:r>
    </w:p>
    <w:p>
      <w:pPr>
        <w:pStyle w:val="Corpsdetexte"/>
        <w:spacing w:before="32" w:after="0"/>
        <w:ind w:left="3891" w:hanging="0"/>
        <w:jc w:val="left"/>
        <w:rPr>
          <w:rFonts w:ascii="Helvetica" w:hAnsi="Helvetica"/>
        </w:rPr>
      </w:pPr>
      <w:r>
        <w:rPr>
          <w:rFonts w:ascii="Helvetica" w:hAnsi="Helvetica"/>
          <w:color w:val="253E89"/>
        </w:rPr>
        <w:t>38029</w:t>
      </w:r>
      <w:r>
        <w:rPr>
          <w:rFonts w:ascii="Helvetica" w:hAnsi="Helvetica"/>
          <w:color w:val="253E89"/>
          <w:spacing w:val="-4"/>
        </w:rPr>
        <w:t xml:space="preserve"> </w:t>
      </w:r>
      <w:r>
        <w:rPr>
          <w:rFonts w:ascii="Helvetica" w:hAnsi="Helvetica"/>
          <w:color w:val="253E89"/>
        </w:rPr>
        <w:t>Grenoble</w:t>
      </w:r>
      <w:r>
        <w:rPr>
          <w:rFonts w:ascii="Helvetica" w:hAnsi="Helvetica"/>
          <w:color w:val="253E89"/>
          <w:spacing w:val="-3"/>
        </w:rPr>
        <w:t xml:space="preserve"> </w:t>
      </w:r>
      <w:r>
        <w:rPr>
          <w:rFonts w:ascii="Helvetica" w:hAnsi="Helvetica"/>
          <w:color w:val="253E89"/>
        </w:rPr>
        <w:t>Cedex</w:t>
      </w:r>
      <w:r>
        <w:rPr>
          <w:rFonts w:ascii="Helvetica" w:hAnsi="Helvetica"/>
          <w:color w:val="253E89"/>
          <w:spacing w:val="-3"/>
        </w:rPr>
        <w:t xml:space="preserve"> </w:t>
      </w:r>
      <w:r>
        <w:rPr>
          <w:rFonts w:ascii="Helvetica" w:hAnsi="Helvetica"/>
          <w:color w:val="253E89"/>
          <w:spacing w:val="-10"/>
        </w:rPr>
        <w:t>2</w:t>
      </w:r>
    </w:p>
    <w:p>
      <w:pPr>
        <w:pStyle w:val="Corpsdetexte"/>
        <w:spacing w:lineRule="exact" w:line="201" w:before="31" w:after="0"/>
        <w:ind w:left="3891" w:hanging="0"/>
        <w:jc w:val="left"/>
        <w:rPr>
          <w:rFonts w:ascii="Helvetica" w:hAnsi="Helvetica"/>
        </w:rPr>
      </w:pPr>
      <w:r>
        <w:rPr>
          <w:rFonts w:ascii="Helvetica" w:hAnsi="Helvetica"/>
          <w:color w:val="253E89"/>
        </w:rPr>
        <w:t>Tél.</w:t>
      </w:r>
      <w:r>
        <w:rPr>
          <w:rFonts w:ascii="Helvetica" w:hAnsi="Helvetica"/>
          <w:color w:val="253E89"/>
          <w:spacing w:val="-1"/>
        </w:rPr>
        <w:t xml:space="preserve"> </w:t>
      </w:r>
      <w:r>
        <w:rPr>
          <w:rFonts w:ascii="Helvetica" w:hAnsi="Helvetica"/>
          <w:color w:val="253E89"/>
        </w:rPr>
        <w:t>04</w:t>
      </w:r>
      <w:r>
        <w:rPr>
          <w:rFonts w:ascii="Helvetica" w:hAnsi="Helvetica"/>
          <w:color w:val="253E89"/>
          <w:spacing w:val="-2"/>
        </w:rPr>
        <w:t xml:space="preserve"> </w:t>
      </w:r>
      <w:r>
        <w:rPr>
          <w:rFonts w:ascii="Helvetica" w:hAnsi="Helvetica"/>
          <w:color w:val="253E89"/>
        </w:rPr>
        <w:t>76</w:t>
      </w:r>
      <w:r>
        <w:rPr>
          <w:rFonts w:ascii="Helvetica" w:hAnsi="Helvetica"/>
          <w:color w:val="253E89"/>
          <w:spacing w:val="-2"/>
        </w:rPr>
        <w:t xml:space="preserve"> </w:t>
      </w:r>
      <w:r>
        <w:rPr>
          <w:rFonts w:ascii="Helvetica" w:hAnsi="Helvetica"/>
          <w:color w:val="253E89"/>
        </w:rPr>
        <w:t>44</w:t>
      </w:r>
      <w:r>
        <w:rPr>
          <w:rFonts w:ascii="Helvetica" w:hAnsi="Helvetica"/>
          <w:color w:val="253E89"/>
          <w:spacing w:val="-2"/>
        </w:rPr>
        <w:t xml:space="preserve"> </w:t>
      </w:r>
      <w:r>
        <w:rPr>
          <w:rFonts w:ascii="Helvetica" w:hAnsi="Helvetica"/>
          <w:color w:val="253E89"/>
        </w:rPr>
        <w:t>48</w:t>
      </w:r>
      <w:r>
        <w:rPr>
          <w:rFonts w:ascii="Helvetica" w:hAnsi="Helvetica"/>
          <w:color w:val="253E89"/>
          <w:spacing w:val="-1"/>
        </w:rPr>
        <w:t xml:space="preserve"> </w:t>
      </w:r>
      <w:r>
        <w:rPr>
          <w:rFonts w:ascii="Helvetica" w:hAnsi="Helvetica"/>
          <w:color w:val="253E89"/>
          <w:spacing w:val="-5"/>
        </w:rPr>
        <w:t>05</w:t>
      </w:r>
    </w:p>
    <w:p>
      <w:pPr>
        <w:pStyle w:val="Normal"/>
        <w:tabs>
          <w:tab w:val="clear" w:pos="720"/>
          <w:tab w:val="left" w:pos="7864" w:leader="none"/>
        </w:tabs>
        <w:spacing w:lineRule="exact" w:line="270"/>
        <w:ind w:left="3891" w:hanging="0"/>
        <w:rPr>
          <w:b/>
          <w:sz w:val="24"/>
        </w:rPr>
      </w:pPr>
      <w:hyperlink r:id="rId6">
        <w:r>
          <w:rPr>
            <w:rFonts w:ascii="Helvetica" w:hAnsi="Helvetica"/>
            <w:color w:val="253E89"/>
            <w:spacing w:val="-3"/>
            <w:position w:val="1"/>
            <w:sz w:val="18"/>
          </w:rPr>
          <w:t>ce.0381603L@ac-</w:t>
        </w:r>
        <w:r>
          <w:rPr>
            <w:rFonts w:ascii="Helvetica" w:hAnsi="Helvetica"/>
            <w:color w:val="253E89"/>
            <w:spacing w:val="-2"/>
            <w:position w:val="1"/>
            <w:sz w:val="18"/>
          </w:rPr>
          <w:t>grenoble.fr</w:t>
        </w:r>
      </w:hyperlink>
      <w:r>
        <w:rPr>
          <w:rFonts w:ascii="Helvetica" w:hAnsi="Helvetica"/>
          <w:color w:val="253E89"/>
          <w:position w:val="1"/>
          <w:sz w:val="18"/>
        </w:rPr>
        <w:tab/>
      </w:r>
      <w:hyperlink r:id="rId7">
        <w:r>
          <w:rPr>
            <w:b/>
            <w:color w:val="253E89"/>
            <w:spacing w:val="-2"/>
            <w:sz w:val="24"/>
          </w:rPr>
          <w:t>www.argouges.fr</w:t>
        </w:r>
      </w:hyperlink>
    </w:p>
    <w:sectPr>
      <w:type w:val="continuous"/>
      <w:pgSz w:w="11906" w:h="16838"/>
      <w:pgMar w:left="400" w:right="560" w:gutter="0" w:header="0" w:top="1920" w:footer="0" w:bottom="280"/>
      <w:formProt w:val="false"/>
      <w:textDirection w:val="lrTb"/>
      <w:docGrid w:type="default" w:linePitch="600" w:charSpace="3686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">
    <w:charset w:val="00"/>
    <w:family w:val="roman"/>
    <w:pitch w:val="variable"/>
  </w:font>
  <w:font w:name="Helvetica">
    <w:altName w:val="Arial"/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 Black">
    <w:charset w:val="00"/>
    <w:family w:val="roman"/>
    <w:pitch w:val="variable"/>
  </w:font>
  <w:font w:name="Arial">
    <w:charset w:val="01"/>
    <w:family w:val="swiss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•"/>
      <w:lvlJc w:val="left"/>
      <w:pPr>
        <w:tabs>
          <w:tab w:val="num" w:pos="0"/>
        </w:tabs>
        <w:ind w:left="546" w:hanging="141"/>
      </w:pPr>
      <w:rPr>
        <w:rFonts w:ascii="Arial" w:hAnsi="Arial" w:cs="Arial" w:hint="default"/>
        <w:sz w:val="18"/>
        <w:i w:val="false"/>
        <w:b w:val="false"/>
        <w:szCs w:val="18"/>
        <w:iCs w:val="false"/>
        <w:bCs w:val="false"/>
        <w:w w:val="142"/>
        <w:color w:val="253E89"/>
        <w:lang w:val="fr-FR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941" w:hanging="141"/>
      </w:pPr>
      <w:rPr>
        <w:rFonts w:ascii="Symbol" w:hAnsi="Symbol" w:cs="Symbol" w:hint="default"/>
        <w:lang w:val="fr-FR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342" w:hanging="141"/>
      </w:pPr>
      <w:rPr>
        <w:rFonts w:ascii="Symbol" w:hAnsi="Symbol" w:cs="Symbol" w:hint="default"/>
        <w:lang w:val="fr-FR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1743" w:hanging="141"/>
      </w:pPr>
      <w:rPr>
        <w:rFonts w:ascii="Symbol" w:hAnsi="Symbol" w:cs="Symbol" w:hint="default"/>
        <w:lang w:val="fr-FR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2144" w:hanging="141"/>
      </w:pPr>
      <w:rPr>
        <w:rFonts w:ascii="Symbol" w:hAnsi="Symbol" w:cs="Symbol" w:hint="default"/>
        <w:lang w:val="fr-FR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2545" w:hanging="141"/>
      </w:pPr>
      <w:rPr>
        <w:rFonts w:ascii="Symbol" w:hAnsi="Symbol" w:cs="Symbol" w:hint="default"/>
        <w:lang w:val="fr-FR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2947" w:hanging="141"/>
      </w:pPr>
      <w:rPr>
        <w:rFonts w:ascii="Symbol" w:hAnsi="Symbol" w:cs="Symbol" w:hint="default"/>
        <w:lang w:val="fr-FR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3348" w:hanging="141"/>
      </w:pPr>
      <w:rPr>
        <w:rFonts w:ascii="Symbol" w:hAnsi="Symbol" w:cs="Symbol" w:hint="default"/>
        <w:lang w:val="fr-FR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3749" w:hanging="141"/>
      </w:pPr>
      <w:rPr>
        <w:rFonts w:ascii="Symbol" w:hAnsi="Symbol" w:cs="Symbol" w:hint="default"/>
        <w:lang w:val="fr-FR" w:eastAsia="en-US" w:bidi="ar-SA"/>
      </w:rPr>
    </w:lvl>
  </w:abstractNum>
  <w:abstractNum w:abstractNumId="2">
    <w:lvl w:ilvl="0">
      <w:numFmt w:val="bullet"/>
      <w:lvlText w:val="•"/>
      <w:lvlJc w:val="left"/>
      <w:pPr>
        <w:tabs>
          <w:tab w:val="num" w:pos="0"/>
        </w:tabs>
        <w:ind w:left="2457" w:hanging="137"/>
      </w:pPr>
      <w:rPr>
        <w:rFonts w:ascii="Arial" w:hAnsi="Arial" w:cs="Arial" w:hint="default"/>
        <w:sz w:val="18"/>
        <w:i w:val="false"/>
        <w:b w:val="false"/>
        <w:szCs w:val="18"/>
        <w:iCs w:val="false"/>
        <w:bCs w:val="false"/>
        <w:w w:val="142"/>
        <w:color w:val="253E89"/>
        <w:lang w:val="fr-FR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2849" w:hanging="137"/>
      </w:pPr>
      <w:rPr>
        <w:rFonts w:ascii="Symbol" w:hAnsi="Symbol" w:cs="Symbol" w:hint="default"/>
        <w:lang w:val="fr-FR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3238" w:hanging="137"/>
      </w:pPr>
      <w:rPr>
        <w:rFonts w:ascii="Symbol" w:hAnsi="Symbol" w:cs="Symbol" w:hint="default"/>
        <w:lang w:val="fr-FR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628" w:hanging="137"/>
      </w:pPr>
      <w:rPr>
        <w:rFonts w:ascii="Symbol" w:hAnsi="Symbol" w:cs="Symbol" w:hint="default"/>
        <w:lang w:val="fr-FR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017" w:hanging="137"/>
      </w:pPr>
      <w:rPr>
        <w:rFonts w:ascii="Symbol" w:hAnsi="Symbol" w:cs="Symbol" w:hint="default"/>
        <w:lang w:val="fr-FR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406" w:hanging="137"/>
      </w:pPr>
      <w:rPr>
        <w:rFonts w:ascii="Symbol" w:hAnsi="Symbol" w:cs="Symbol" w:hint="default"/>
        <w:lang w:val="fr-FR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4796" w:hanging="137"/>
      </w:pPr>
      <w:rPr>
        <w:rFonts w:ascii="Symbol" w:hAnsi="Symbol" w:cs="Symbol" w:hint="default"/>
        <w:lang w:val="fr-FR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5185" w:hanging="137"/>
      </w:pPr>
      <w:rPr>
        <w:rFonts w:ascii="Symbol" w:hAnsi="Symbol" w:cs="Symbol" w:hint="default"/>
        <w:lang w:val="fr-FR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5574" w:hanging="137"/>
      </w:pPr>
      <w:rPr>
        <w:rFonts w:ascii="Symbol" w:hAnsi="Symbol" w:cs="Symbol" w:hint="default"/>
        <w:lang w:val="fr-FR" w:eastAsia="en-US" w:bidi="ar-SA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4"/>
  </w:compat>
  <w:themeFontLang w:val="fr-F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styleId="Normal" w:default="1">
    <w:name w:val="Normal"/>
    <w:uiPriority w:val="1"/>
    <w:qFormat/>
    <w:pPr>
      <w:widowControl w:val="false"/>
      <w:bidi w:val="0"/>
      <w:spacing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fr-FR" w:eastAsia="en-US" w:bidi="ar-SA"/>
    </w:rPr>
  </w:style>
  <w:style w:type="paragraph" w:styleId="Titre1">
    <w:name w:val="Heading 1"/>
    <w:basedOn w:val="Normal"/>
    <w:uiPriority w:val="1"/>
    <w:qFormat/>
    <w:pPr>
      <w:ind w:left="3249" w:hanging="0"/>
      <w:outlineLvl w:val="0"/>
    </w:pPr>
    <w:rPr>
      <w:rFonts w:ascii="Helvetica" w:hAnsi="Helvetica" w:eastAsia="Helvetica" w:cs="Helvetica"/>
      <w:b/>
      <w:bCs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enInternet">
    <w:name w:val="Hyperlink"/>
    <w:rPr>
      <w:color w:val="000080"/>
      <w:u w:val="single"/>
    </w:rPr>
  </w:style>
  <w:style w:type="paragraph" w:styleId="Titre">
    <w:name w:val="Titre"/>
    <w:basedOn w:val="Normal"/>
    <w:next w:val="Corpsdetexte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sdetexte">
    <w:name w:val="Body Text"/>
    <w:basedOn w:val="Normal"/>
    <w:uiPriority w:val="1"/>
    <w:qFormat/>
    <w:pPr>
      <w:ind w:left="2321" w:hanging="0"/>
      <w:jc w:val="both"/>
    </w:pPr>
    <w:rPr>
      <w:sz w:val="18"/>
      <w:szCs w:val="18"/>
    </w:rPr>
  </w:style>
  <w:style w:type="paragraph" w:styleId="Liste">
    <w:name w:val="List"/>
    <w:basedOn w:val="Corpsdetexte"/>
    <w:pPr/>
    <w:rPr>
      <w:rFonts w:cs="Arial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itreprincipal">
    <w:name w:val="Title"/>
    <w:basedOn w:val="Normal"/>
    <w:uiPriority w:val="1"/>
    <w:qFormat/>
    <w:pPr>
      <w:spacing w:lineRule="exact" w:line="1575"/>
      <w:ind w:left="115" w:hanging="0"/>
    </w:pPr>
    <w:rPr>
      <w:rFonts w:ascii="Arial Black" w:hAnsi="Arial Black" w:eastAsia="Arial Black" w:cs="Arial Black"/>
      <w:sz w:val="132"/>
      <w:szCs w:val="132"/>
    </w:rPr>
  </w:style>
  <w:style w:type="paragraph" w:styleId="ListParagraph">
    <w:name w:val="List Paragraph"/>
    <w:basedOn w:val="Normal"/>
    <w:uiPriority w:val="1"/>
    <w:qFormat/>
    <w:pPr>
      <w:ind w:left="546" w:right="118" w:hanging="141"/>
    </w:pPr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Contenudecadre">
    <w:name w:val="Contenu de cadr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au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1.png"/><Relationship Id="rId4" Type="http://schemas.openxmlformats.org/officeDocument/2006/relationships/hyperlink" Target="http://www.forum-franco-allemand.org/" TargetMode="External"/><Relationship Id="rId5" Type="http://schemas.openxmlformats.org/officeDocument/2006/relationships/hyperlink" Target="http://www.voltaireonline.eu/" TargetMode="External"/><Relationship Id="rId6" Type="http://schemas.openxmlformats.org/officeDocument/2006/relationships/hyperlink" Target="mailto:ce.0381603L@ac-grenoble.fr" TargetMode="External"/><Relationship Id="rId7" Type="http://schemas.openxmlformats.org/officeDocument/2006/relationships/hyperlink" Target="http://www.argouges.fr/" TargetMode="Externa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Application>LibreOffice/7.5.4.2$Windows_X86_64 LibreOffice_project/36ccfdc35048b057fd9854c757a8b67ec53977b6</Application>
  <AppVersion>15.0000</AppVersion>
  <Pages>1</Pages>
  <Words>415</Words>
  <Characters>2468</Characters>
  <CharactersWithSpaces>2847</CharactersWithSpaces>
  <Paragraphs>31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2022-12-15T08:46:00Z</dcterms:created>
  <dc:creator/>
  <dc:description/>
  <dc:language>fr-FR</dc:language>
  <cp:lastModifiedBy/>
  <dcterms:modified xsi:type="dcterms:W3CDTF">2026-02-03T13:48:38Z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2021-02-22T00:00:00Z</vt:filetime>
  </property>
  <property fmtid="{D5CDD505-2E9C-101B-9397-08002B2CF9AE}" pid="3" name="Creator">
    <vt:lpwstr>Adobe InDesign 16.1 (Macintosh)</vt:lpwstr>
  </property>
  <property fmtid="{D5CDD505-2E9C-101B-9397-08002B2CF9AE}" pid="4" name="LastSaved">
    <vt:filetime>2022-12-15T00:00:00Z</vt:filetime>
  </property>
  <property fmtid="{D5CDD505-2E9C-101B-9397-08002B2CF9AE}" pid="5" name="Producer">
    <vt:lpwstr>Adobe PDF Library 15.0</vt:lpwstr>
  </property>
</Properties>
</file>